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439D0" w14:textId="6380C1B0" w:rsidR="00AC3C79" w:rsidRDefault="00AC3C79" w:rsidP="69FA3A59">
      <w:pPr>
        <w:rPr>
          <w:rFonts w:ascii="Arial" w:eastAsia="Arial" w:hAnsi="Arial" w:cs="Arial"/>
          <w:b/>
          <w:bCs/>
          <w:color w:val="000000"/>
        </w:rPr>
      </w:pPr>
      <w:r w:rsidRPr="69FA3A59">
        <w:rPr>
          <w:rFonts w:ascii="Arial" w:eastAsia="Arial" w:hAnsi="Arial" w:cs="Arial"/>
          <w:b/>
          <w:bCs/>
          <w:color w:val="000000" w:themeColor="text1"/>
        </w:rPr>
        <w:t>Institutional Learning Outcome (ILO) Foci: Critical Thinking &amp; Investigation</w:t>
      </w:r>
    </w:p>
    <w:p w14:paraId="01B6E03F" w14:textId="77777777" w:rsidR="00AC3C79" w:rsidRDefault="00AC3C79" w:rsidP="69FA3A59">
      <w:pPr>
        <w:rPr>
          <w:rFonts w:ascii="Arial" w:eastAsia="Arial" w:hAnsi="Arial" w:cs="Arial"/>
          <w:i/>
          <w:iCs/>
          <w:color w:val="000000"/>
        </w:rPr>
      </w:pPr>
    </w:p>
    <w:p w14:paraId="5D9369BB" w14:textId="770745D5" w:rsidR="00AC3C79" w:rsidRDefault="00AC3C79" w:rsidP="69FA3A59">
      <w:pPr>
        <w:rPr>
          <w:rFonts w:ascii="Arial" w:eastAsia="Arial" w:hAnsi="Arial" w:cs="Arial"/>
          <w:i/>
          <w:iCs/>
          <w:color w:val="000000" w:themeColor="text1"/>
        </w:rPr>
      </w:pPr>
      <w:r w:rsidRPr="69FA3A59">
        <w:rPr>
          <w:rFonts w:ascii="Arial" w:eastAsia="Arial" w:hAnsi="Arial" w:cs="Arial"/>
          <w:i/>
          <w:iCs/>
          <w:color w:val="000000" w:themeColor="text1"/>
        </w:rPr>
        <w:t>A TRU graduate should be able to construct meaning from information by applying creative and critical thinking through research.</w:t>
      </w:r>
    </w:p>
    <w:p w14:paraId="32A44075" w14:textId="77777777" w:rsidR="00AC3C79" w:rsidRDefault="00AC3C79" w:rsidP="69FA3A59">
      <w:pPr>
        <w:rPr>
          <w:rFonts w:ascii="Arial" w:eastAsia="Arial" w:hAnsi="Arial" w:cs="Arial"/>
        </w:rPr>
      </w:pPr>
    </w:p>
    <w:tbl>
      <w:tblPr>
        <w:tblW w:w="14512" w:type="dxa"/>
        <w:tblLayout w:type="fixed"/>
        <w:tblCellMar>
          <w:top w:w="15" w:type="dxa"/>
          <w:bottom w:w="15" w:type="dxa"/>
        </w:tblCellMar>
        <w:tblLook w:val="0620" w:firstRow="1" w:lastRow="0" w:firstColumn="0" w:lastColumn="0" w:noHBand="1" w:noVBand="1"/>
      </w:tblPr>
      <w:tblGrid>
        <w:gridCol w:w="3135"/>
        <w:gridCol w:w="3030"/>
        <w:gridCol w:w="2496"/>
        <w:gridCol w:w="2978"/>
        <w:gridCol w:w="2873"/>
      </w:tblGrid>
      <w:tr w:rsidR="00AC3C79" w:rsidRPr="00AC3C79" w14:paraId="39A06EDB" w14:textId="77777777" w:rsidTr="00EB1380">
        <w:trPr>
          <w:trHeight w:val="361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763382" w14:textId="3EFC66AF" w:rsidR="00AC3C79" w:rsidRPr="00AC3C79" w:rsidRDefault="00AC3C79" w:rsidP="69FA3A59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EB5A" w14:textId="77777777" w:rsidR="00AC3C79" w:rsidRPr="00AC3C79" w:rsidRDefault="00AC3C79" w:rsidP="69FA3A59">
            <w:pPr>
              <w:rPr>
                <w:rFonts w:ascii="Arial" w:eastAsia="Arial" w:hAnsi="Arial" w:cs="Arial"/>
                <w:b/>
                <w:bCs/>
                <w:color w:val="000000"/>
              </w:rPr>
            </w:pPr>
            <w:r w:rsidRPr="69FA3A59">
              <w:rPr>
                <w:rFonts w:ascii="Arial" w:eastAsia="Arial" w:hAnsi="Arial" w:cs="Arial"/>
                <w:b/>
                <w:bCs/>
                <w:color w:val="000000" w:themeColor="text1"/>
              </w:rPr>
              <w:t>1 Beginning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AF78" w14:textId="77777777" w:rsidR="00AC3C79" w:rsidRPr="00AC3C79" w:rsidRDefault="00AC3C79" w:rsidP="69FA3A59">
            <w:pPr>
              <w:rPr>
                <w:rFonts w:ascii="Arial" w:eastAsia="Arial" w:hAnsi="Arial" w:cs="Arial"/>
                <w:b/>
                <w:bCs/>
                <w:color w:val="000000"/>
              </w:rPr>
            </w:pPr>
            <w:r w:rsidRPr="69FA3A59">
              <w:rPr>
                <w:rFonts w:ascii="Arial" w:eastAsia="Arial" w:hAnsi="Arial" w:cs="Arial"/>
                <w:b/>
                <w:bCs/>
                <w:color w:val="000000" w:themeColor="text1"/>
              </w:rPr>
              <w:t>2 Approaching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44EC" w14:textId="77777777" w:rsidR="00AC3C79" w:rsidRPr="00AC3C79" w:rsidRDefault="00AC3C79" w:rsidP="69FA3A59">
            <w:pPr>
              <w:rPr>
                <w:rFonts w:ascii="Arial" w:eastAsia="Arial" w:hAnsi="Arial" w:cs="Arial"/>
                <w:b/>
                <w:bCs/>
                <w:color w:val="000000"/>
              </w:rPr>
            </w:pPr>
            <w:r w:rsidRPr="69FA3A59">
              <w:rPr>
                <w:rFonts w:ascii="Arial" w:eastAsia="Arial" w:hAnsi="Arial" w:cs="Arial"/>
                <w:b/>
                <w:bCs/>
                <w:color w:val="000000" w:themeColor="text1"/>
              </w:rPr>
              <w:t>3 Meeting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B94B" w14:textId="77777777" w:rsidR="00AC3C79" w:rsidRPr="00AC3C79" w:rsidRDefault="00AC3C79" w:rsidP="69FA3A59">
            <w:pPr>
              <w:rPr>
                <w:rFonts w:ascii="Arial" w:eastAsia="Arial" w:hAnsi="Arial" w:cs="Arial"/>
                <w:b/>
                <w:bCs/>
                <w:color w:val="000000"/>
              </w:rPr>
            </w:pPr>
            <w:r w:rsidRPr="69FA3A59">
              <w:rPr>
                <w:rFonts w:ascii="Arial" w:eastAsia="Arial" w:hAnsi="Arial" w:cs="Arial"/>
                <w:b/>
                <w:bCs/>
                <w:color w:val="000000" w:themeColor="text1"/>
              </w:rPr>
              <w:t>4 Exceeding</w:t>
            </w:r>
          </w:p>
        </w:tc>
      </w:tr>
      <w:tr w:rsidR="00AC3C79" w:rsidRPr="00AC3C79" w14:paraId="056B52A4" w14:textId="77777777" w:rsidTr="478B7119">
        <w:trPr>
          <w:trHeight w:val="63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994A9" w14:textId="77777777" w:rsidR="00AC3C79" w:rsidRPr="00AC3C79" w:rsidRDefault="00AC3C79" w:rsidP="69FA3A59">
            <w:pPr>
              <w:rPr>
                <w:rFonts w:ascii="Arial" w:eastAsia="Arial" w:hAnsi="Arial" w:cs="Arial"/>
                <w:b/>
                <w:bCs/>
                <w:color w:val="000000"/>
              </w:rPr>
            </w:pPr>
            <w:r w:rsidRPr="69FA3A59">
              <w:rPr>
                <w:rFonts w:ascii="Arial" w:eastAsia="Arial" w:hAnsi="Arial" w:cs="Arial"/>
                <w:b/>
                <w:bCs/>
                <w:color w:val="000000" w:themeColor="text1"/>
              </w:rPr>
              <w:t>Foci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BEAA" w14:textId="248D63AC" w:rsidR="00AC3C79" w:rsidRPr="00AC3C79" w:rsidRDefault="6C4DA9AA" w:rsidP="68DB10B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 xml:space="preserve"> (entry level, insufficient at the end of first ILO course)</w:t>
            </w:r>
          </w:p>
          <w:p w14:paraId="0258EDB7" w14:textId="59A6C340" w:rsidR="00AC3C79" w:rsidRPr="00AC3C79" w:rsidRDefault="00AC3C79" w:rsidP="146034C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2119" w14:textId="45DA0FC9" w:rsidR="00AC3C79" w:rsidRPr="00AC3C79" w:rsidRDefault="6FD0B9E7" w:rsidP="68DB10B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 xml:space="preserve"> (minimally sufficient after first ILO course)</w:t>
            </w:r>
          </w:p>
          <w:p w14:paraId="28A4428C" w14:textId="61AAEA6E" w:rsidR="00AC3C79" w:rsidRPr="00AC3C79" w:rsidRDefault="00AC3C79" w:rsidP="4E107DA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B6F0" w14:textId="110344A1" w:rsidR="00AC3C79" w:rsidRPr="00AC3C79" w:rsidRDefault="7B805490" w:rsidP="68DB10B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 xml:space="preserve"> (well-developed, sufficient at graduation)</w:t>
            </w:r>
          </w:p>
          <w:p w14:paraId="4099D020" w14:textId="3477C76B" w:rsidR="00AC3C79" w:rsidRPr="00AC3C79" w:rsidRDefault="00AC3C79" w:rsidP="06C1B37D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9A61" w14:textId="5F2E6DB8" w:rsidR="00AC3C79" w:rsidRPr="00AC3C79" w:rsidRDefault="06195992" w:rsidP="68DB10BE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 xml:space="preserve"> (Exceptional at end of undergraduate degree)</w:t>
            </w:r>
          </w:p>
          <w:p w14:paraId="67D22F3E" w14:textId="319FFC8C" w:rsidR="00AC3C79" w:rsidRPr="00AC3C79" w:rsidRDefault="00AC3C79" w:rsidP="7D1A6BF0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AC3C79" w:rsidRPr="00AC3C79" w14:paraId="505326DA" w14:textId="77777777" w:rsidTr="00EB1380">
        <w:trPr>
          <w:trHeight w:val="1142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FEFF"/>
            <w:hideMark/>
          </w:tcPr>
          <w:p w14:paraId="014E0D63" w14:textId="161F1F37" w:rsidR="00AC3C79" w:rsidRPr="00AC3C79" w:rsidRDefault="00557C10" w:rsidP="69FA3A5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1. </w:t>
            </w:r>
            <w:r w:rsidR="65CAC822" w:rsidRPr="68DB10BE">
              <w:rPr>
                <w:rFonts w:ascii="Arial" w:eastAsia="Arial" w:hAnsi="Arial" w:cs="Arial"/>
                <w:b/>
                <w:bCs/>
                <w:color w:val="000000" w:themeColor="text1"/>
              </w:rPr>
              <w:t>Critical and Creative Exploration</w:t>
            </w:r>
            <w:r w:rsidR="65CAC822" w:rsidRPr="68DB10BE"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r w:rsidR="65CAC822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Students investigate a topic, issue, or assumption (for example, formulate a position, topic, question, perspective, thesis, hypothesis)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FF"/>
            <w:hideMark/>
          </w:tcPr>
          <w:p w14:paraId="2A643E19" w14:textId="750B92F3" w:rsidR="00AC3C79" w:rsidRPr="00AC3C79" w:rsidRDefault="664C1319" w:rsidP="202CBAC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Identify </w:t>
            </w:r>
            <w:r w:rsidR="14B4CA9D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="183934FB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broad </w:t>
            </w:r>
            <w:r w:rsidR="14B4CA9D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problem</w:t>
            </w:r>
            <w:r w:rsidR="1F68E526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or </w:t>
            </w:r>
            <w:r w:rsidR="14B4CA9D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topic</w:t>
            </w:r>
            <w:r w:rsidR="719F6FA3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to explore, </w:t>
            </w:r>
            <w:r w:rsidR="09FA452B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describes a problem</w:t>
            </w:r>
            <w:r w:rsidR="46696C35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in broad terms,</w:t>
            </w:r>
            <w:r w:rsidR="09FA452B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1B6FC79A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to broadly define a</w:t>
            </w:r>
            <w:r w:rsidR="003F1940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question or issue</w:t>
            </w:r>
            <w:r w:rsidR="2AE8C605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FF"/>
            <w:hideMark/>
          </w:tcPr>
          <w:p w14:paraId="62AF0239" w14:textId="01DF24B9" w:rsidR="00AC3C79" w:rsidRPr="00AC3C79" w:rsidRDefault="52FB5AF9" w:rsidP="69FA3A5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Articulates </w:t>
            </w:r>
            <w:r w:rsidR="610C6B45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="71E46773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perspective, position,</w:t>
            </w:r>
            <w:r w:rsidR="610C6B45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question</w:t>
            </w:r>
            <w:r w:rsidR="595C30FD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</w:t>
            </w:r>
            <w:r w:rsidR="610C6B45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456AE12A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 hypothesis</w:t>
            </w:r>
            <w:r w:rsidR="27E98268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based on </w:t>
            </w:r>
            <w:r w:rsidR="15BE2380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research and/or </w:t>
            </w:r>
            <w:r w:rsidR="27E98268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theory</w:t>
            </w:r>
            <w:r w:rsidR="3B39DC06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FF"/>
            <w:hideMark/>
          </w:tcPr>
          <w:p w14:paraId="6EF53270" w14:textId="77A03802" w:rsidR="00AC3C79" w:rsidRPr="00AC3C79" w:rsidRDefault="47050495" w:rsidP="69FA3A5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</w:t>
            </w:r>
            <w:r w:rsidR="12AB415D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ormulate</w:t>
            </w:r>
            <w:r w:rsidR="55F5FBBE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="12AB415D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a 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nuanced</w:t>
            </w:r>
            <w:r w:rsidR="68167E48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question,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100812D4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position, </w:t>
            </w:r>
            <w:r w:rsidR="5485C17F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framed from a particular perspective, </w:t>
            </w:r>
            <w:r w:rsidR="2D4EE4E6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using 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appropriate method</w:t>
            </w:r>
            <w:r w:rsidR="680B5488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ology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of investigation</w:t>
            </w:r>
            <w:r w:rsidR="465EB838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  <w:r w:rsidR="256E5F1A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Typically</w:t>
            </w:r>
            <w:r w:rsidR="47F7FF61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</w:t>
            </w:r>
            <w:r w:rsidR="256E5F1A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69988794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occurs through</w:t>
            </w:r>
            <w:r w:rsidR="256E5F1A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5CE0C444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="256E5F1A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refinement process</w:t>
            </w:r>
            <w:r w:rsidR="7CC59191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(e.g., feedback loop, considering literature, drafts)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FF"/>
            <w:hideMark/>
          </w:tcPr>
          <w:p w14:paraId="4F9CE03B" w14:textId="445E59D7" w:rsidR="00AC3C79" w:rsidRPr="00AC3C79" w:rsidRDefault="14F54ECB" w:rsidP="69FA3A5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Investigates </w:t>
            </w:r>
            <w:r w:rsidR="33889042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="14B4CA9D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novel question that </w:t>
            </w:r>
            <w:r w:rsidR="2C710497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could </w:t>
            </w:r>
            <w:r w:rsidR="14B4CA9D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contribute to the interpretative or professional community</w:t>
            </w:r>
            <w:r w:rsidR="3C107C16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  <w:r w:rsidR="14B4CA9D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="2C555258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="14B4CA9D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lus all of Meeting).</w:t>
            </w:r>
          </w:p>
        </w:tc>
      </w:tr>
      <w:tr w:rsidR="00AC3C79" w:rsidRPr="00AC3C79" w14:paraId="3AAEC4B7" w14:textId="77777777" w:rsidTr="478B7119">
        <w:trPr>
          <w:trHeight w:val="184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0656DC" w14:textId="50DC70F9" w:rsidR="00AC3C79" w:rsidRPr="00AC3C79" w:rsidRDefault="00557C10" w:rsidP="69FA3A5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2. </w:t>
            </w:r>
            <w:r w:rsidR="00AC3C79" w:rsidRPr="69FA3A59">
              <w:rPr>
                <w:rFonts w:ascii="Arial" w:eastAsia="Arial" w:hAnsi="Arial" w:cs="Arial"/>
                <w:b/>
                <w:bCs/>
                <w:color w:val="000000" w:themeColor="text1"/>
              </w:rPr>
              <w:t>Critical Evaluation</w:t>
            </w:r>
            <w:r w:rsidR="00AC3C79" w:rsidRPr="69FA3A59"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r w:rsidR="00AC3C79" w:rsidRPr="69FA3A5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Students assess, organize, and synthesize existing knowledge</w:t>
            </w:r>
            <w:r w:rsidR="00AC3C79" w:rsidRPr="69FA3A5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EB59" w14:textId="1A38FEEB" w:rsidR="00AC3C79" w:rsidRPr="00AC3C79" w:rsidRDefault="7C031388" w:rsidP="69FA3A5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478B711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Locates</w:t>
            </w:r>
            <w:r w:rsidR="00AC3C79" w:rsidRPr="478B711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and identif</w:t>
            </w:r>
            <w:r w:rsidR="54A55AFB" w:rsidRPr="478B711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ies</w:t>
            </w:r>
            <w:r w:rsidR="00AC3C79" w:rsidRPr="478B711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broadly relevant information. Create</w:t>
            </w:r>
            <w:r w:rsidR="49AFA33A" w:rsidRPr="478B711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="00AC3C79" w:rsidRPr="478B711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3F66922" w:rsidRPr="478B711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descriptive</w:t>
            </w:r>
            <w:r w:rsidR="00AC3C79" w:rsidRPr="478B711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summaries</w:t>
            </w:r>
            <w:r w:rsidR="136FA594" w:rsidRPr="478B711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that may include some irrelevant information.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7C5E" w14:textId="02F06C4F" w:rsidR="00AC3C79" w:rsidRPr="00AC3C79" w:rsidRDefault="00AC3C79" w:rsidP="69FA3A5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Analyze</w:t>
            </w:r>
            <w:r w:rsidR="1981E8E1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information with tools provided</w:t>
            </w:r>
            <w:r w:rsidR="1EC5CD10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with some initial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selective</w:t>
            </w:r>
            <w:r w:rsidR="27811F2C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screening, </w:t>
            </w:r>
            <w:r w:rsidR="634D1683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to 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decid</w:t>
            </w:r>
            <w:r w:rsidR="57209BD5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if </w:t>
            </w:r>
            <w:r w:rsidR="62CFF7B3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information 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align</w:t>
            </w:r>
            <w:r w:rsidR="7A4361BB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with </w:t>
            </w:r>
            <w:r w:rsidR="490E81F1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topic or question.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0FF2" w14:textId="2033E8CD" w:rsidR="00AC3C79" w:rsidRPr="00AC3C79" w:rsidRDefault="49BEE93A" w:rsidP="68DB10B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Synthesizes c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oncise</w:t>
            </w:r>
            <w:r w:rsidR="221464E5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ly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bring</w:t>
            </w:r>
            <w:r w:rsidR="63B3464A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ing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multiple papers together with specific uses and insights. </w:t>
            </w:r>
          </w:p>
          <w:p w14:paraId="70CADD1D" w14:textId="6C722AD0" w:rsidR="00AC3C79" w:rsidRPr="00AC3C79" w:rsidRDefault="00AC3C79" w:rsidP="68DB1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Speak</w:t>
            </w:r>
            <w:r w:rsidR="30B79F60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to themes and weakness across sources &amp; integrating a variety of perspectives.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9FDE" w14:textId="748A80CF" w:rsidR="00AC3C79" w:rsidRPr="00AC3C79" w:rsidRDefault="45BCE59A" w:rsidP="69FA3A5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Critical engage</w:t>
            </w:r>
            <w:r w:rsidR="6A40417A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beyond application of taught ideas, critique</w:t>
            </w:r>
            <w:r w:rsidR="079E2A85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</w:t>
            </w:r>
            <w:r w:rsidR="44AE3344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and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interrogate</w:t>
            </w:r>
            <w:r w:rsidR="61E8299C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 Evaluat</w:t>
            </w:r>
            <w:r w:rsidR="2C09BEF3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es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the material that contributes new insights to the interpretative or </w:t>
            </w:r>
            <w:r w:rsidR="164CA45D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professional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community. (plus all of Meeting).</w:t>
            </w:r>
          </w:p>
        </w:tc>
      </w:tr>
      <w:tr w:rsidR="00AC3C79" w:rsidRPr="00AC3C79" w14:paraId="20ED6225" w14:textId="77777777" w:rsidTr="00EB1380">
        <w:trPr>
          <w:trHeight w:val="183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FEFF"/>
            <w:hideMark/>
          </w:tcPr>
          <w:p w14:paraId="5DBD7BBE" w14:textId="3457DF28" w:rsidR="00AC3C79" w:rsidRPr="00AC3C79" w:rsidRDefault="00557C10" w:rsidP="69FA3A5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3. </w:t>
            </w:r>
            <w:r w:rsidR="00AC3C79" w:rsidRPr="69FA3A59">
              <w:rPr>
                <w:rFonts w:ascii="Arial" w:eastAsia="Arial" w:hAnsi="Arial" w:cs="Arial"/>
                <w:b/>
                <w:bCs/>
                <w:color w:val="000000" w:themeColor="text1"/>
              </w:rPr>
              <w:t>Development</w:t>
            </w:r>
            <w:r w:rsidR="00AC3C79" w:rsidRPr="69FA3A59"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r w:rsidR="00AC3C79" w:rsidRPr="69FA3A5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Students generate information, data, products, and/or designs (for example: students problem solve by combining, adapting, and/or expanding on existing knowledge and practice resilience through adaption to challenging situations).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FF"/>
            <w:hideMark/>
          </w:tcPr>
          <w:p w14:paraId="49410B01" w14:textId="40D3C267" w:rsidR="00AC3C79" w:rsidRPr="00AC3C79" w:rsidRDefault="1822BB98" w:rsidP="69FA3A5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Identify</w:t>
            </w:r>
            <w:r w:rsidR="5FDD3C6C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simple, broadly relevant data</w:t>
            </w:r>
            <w:r w:rsidR="793138A3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source,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1176DE92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tool</w:t>
            </w:r>
            <w:r w:rsidR="2CB3FCF3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 Often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not the best tool or source.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FF"/>
            <w:hideMark/>
          </w:tcPr>
          <w:p w14:paraId="5F4FFD2D" w14:textId="1E5A9F8B" w:rsidR="00AC3C79" w:rsidRPr="00AC3C79" w:rsidRDefault="4BE2A63D" w:rsidP="68DB1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Selects 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more specific </w:t>
            </w:r>
            <w:r w:rsidR="29D118BC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information</w:t>
            </w:r>
            <w:r w:rsidR="68EBCF53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judges the value of the knowledge generation</w:t>
            </w:r>
            <w:r w:rsidR="2B219F90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68EBCF53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approach.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DC810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</w:t>
            </w:r>
            <w:r w:rsidR="4168E2DE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7B237E04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basic ways</w:t>
            </w:r>
            <w:r w:rsidR="2FC1B618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</w:t>
            </w:r>
            <w:r w:rsidR="7B237E04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4168E2DE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combin</w:t>
            </w:r>
            <w:r w:rsidR="76508BE6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es</w:t>
            </w:r>
            <w:r w:rsidR="4168E2DE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existing knowledge</w:t>
            </w:r>
            <w:r w:rsidR="5A14D714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FF"/>
            <w:hideMark/>
          </w:tcPr>
          <w:p w14:paraId="1AB0A30F" w14:textId="33BAC1E7" w:rsidR="00AC3C79" w:rsidRPr="00AC3C79" w:rsidRDefault="1B85A976" w:rsidP="68DB1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5912425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Collects or generates relevant information, data, products, and/or designs</w:t>
            </w:r>
            <w:r w:rsidR="5907DD5E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66CA5426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 depth, not superficial</w:t>
            </w:r>
            <w:r w:rsidR="0E88C631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3C091D43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Demonstrates persistence and adaptation to challenging situations.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29AB019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Adapts existing knowledge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FEFF"/>
            <w:hideMark/>
          </w:tcPr>
          <w:p w14:paraId="311AE1DE" w14:textId="42FD4384" w:rsidR="00AC3C79" w:rsidRPr="00AC3C79" w:rsidRDefault="3681ABAE" w:rsidP="68DB10B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evelop</w:t>
            </w:r>
            <w:r w:rsidR="47C146D6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7AA15CD5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information, data, products, and/or designs 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independently with minimal instruction</w:t>
            </w:r>
            <w:r w:rsidR="3A00158C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that is highly relevant and effective for ada</w:t>
            </w:r>
            <w:r w:rsidR="59EC9F10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="3A00158C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ting or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48027D1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expanding on existing knowledge</w:t>
            </w:r>
            <w:r w:rsidR="5F978BB7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056C25A8" w14:textId="0BB263C6" w:rsidR="00AC3C79" w:rsidRPr="00AC3C79" w:rsidRDefault="00AC3C79" w:rsidP="69FA3A5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(plus all of Meeting).</w:t>
            </w:r>
          </w:p>
        </w:tc>
      </w:tr>
      <w:tr w:rsidR="00AC3C79" w:rsidRPr="00AC3C79" w14:paraId="61C2403B" w14:textId="77777777" w:rsidTr="478B7119">
        <w:trPr>
          <w:trHeight w:val="209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DADD30" w14:textId="2AD9C71A" w:rsidR="00AC3C79" w:rsidRPr="00AC3C79" w:rsidRDefault="00557C10" w:rsidP="69FA3A5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lastRenderedPageBreak/>
              <w:t xml:space="preserve">4. </w:t>
            </w:r>
            <w:r w:rsidR="00AC3C79" w:rsidRPr="69FA3A59">
              <w:rPr>
                <w:rFonts w:ascii="Arial" w:eastAsia="Arial" w:hAnsi="Arial" w:cs="Arial"/>
                <w:b/>
                <w:bCs/>
                <w:color w:val="000000" w:themeColor="text1"/>
              </w:rPr>
              <w:t>Critical Interpretation</w:t>
            </w:r>
            <w:r w:rsidR="00AC3C79" w:rsidRPr="69FA3A59"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r w:rsidR="00AC3C79" w:rsidRPr="69FA3A5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Students analyze quantitative and/or qualitative data, make evidence-based arguments, and draw disciplinary-informed conclusions using appropriate methodologies.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59AB" w14:textId="5B1EC3E1" w:rsidR="00AC3C79" w:rsidRPr="00AC3C79" w:rsidRDefault="00AC3C79" w:rsidP="69FA3A5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Mechanical</w:t>
            </w:r>
            <w:r w:rsidR="6648A7A7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ly appl</w:t>
            </w:r>
            <w:r w:rsidR="5EBB6B12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ies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simple </w:t>
            </w:r>
            <w:r w:rsidR="1E8951FC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analysis 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but not able to adapt </w:t>
            </w:r>
            <w:r w:rsidR="70F8E40C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or 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connect with research questions. Us</w:t>
            </w:r>
            <w:r w:rsidR="294C58F8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es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pre-prepa</w:t>
            </w:r>
            <w:r w:rsidR="24ECAF18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ed data or information. </w:t>
            </w:r>
            <w:r w:rsidR="18126631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Often t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he conclusion repeats the question.</w:t>
            </w:r>
            <w:r w:rsidR="2CFD4761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F028" w14:textId="012AE013" w:rsidR="00AC3C79" w:rsidRPr="00AC3C79" w:rsidRDefault="0F3A85C1" w:rsidP="69FA3A5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Uses prepared data and analysis</w:t>
            </w:r>
            <w:r w:rsidR="3EF8CEFD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to find basic arguments or evidence.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3EAAAFF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Complete basic analyses as planned</w:t>
            </w:r>
            <w:r w:rsidR="3FACD86B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  <w:r w:rsidR="3EAAAFF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3F3C24AC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="3EAAAFF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raws simple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conclusion</w:t>
            </w:r>
            <w:r w:rsidR="16CD04FC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51FEC4D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that 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respond to the question.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99EBBF" w14:textId="1359C9ED" w:rsidR="00AC3C79" w:rsidRPr="00AC3C79" w:rsidRDefault="2DB93A83" w:rsidP="68DB1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Analyze</w:t>
            </w:r>
            <w:r w:rsidR="76B2EBA8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data to make</w:t>
            </w:r>
            <w:r w:rsidR="45782810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accurate, precise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evidence-based arguments </w:t>
            </w:r>
            <w:r w:rsidR="47B487F4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(often</w:t>
            </w:r>
            <w:r w:rsidR="41A0CB80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an</w:t>
            </w:r>
            <w:r w:rsidR="47B487F4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iterative</w:t>
            </w:r>
            <w:r w:rsidR="79BB4466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analytical process</w:t>
            </w:r>
            <w:r w:rsidR="47B487F4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  <w:r w:rsidR="1F1FEAC1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  <w:r w:rsidR="12EFE4B1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Draw</w:t>
            </w:r>
            <w:r w:rsidR="0DFFCE90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disciplinary-informed </w:t>
            </w:r>
            <w:r w:rsidR="6FCF8F1D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and 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conclusions.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5E796" w14:textId="260DA4AC" w:rsidR="00AC3C79" w:rsidRPr="00AC3C79" w:rsidRDefault="64ED161B" w:rsidP="68DB1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Draw conclusions that are novel or original that contribute to and expand disciplinary or professional fields.</w:t>
            </w:r>
            <w:r w:rsidR="68B3CBD2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(plus all of Meeting).</w:t>
            </w:r>
          </w:p>
        </w:tc>
      </w:tr>
      <w:tr w:rsidR="00AC3C79" w:rsidRPr="00AC3C79" w14:paraId="76AE99AD" w14:textId="77777777" w:rsidTr="00EB1380">
        <w:trPr>
          <w:trHeight w:val="219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FEFF"/>
            <w:hideMark/>
          </w:tcPr>
          <w:p w14:paraId="7426EFFF" w14:textId="5FEB7055" w:rsidR="00AC3C79" w:rsidRPr="00AC3C79" w:rsidRDefault="00557C10" w:rsidP="69FA3A5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5. </w:t>
            </w:r>
            <w:r w:rsidR="00AC3C79" w:rsidRPr="68DB10BE">
              <w:rPr>
                <w:rFonts w:ascii="Arial" w:eastAsia="Arial" w:hAnsi="Arial" w:cs="Arial"/>
                <w:b/>
                <w:bCs/>
                <w:color w:val="000000" w:themeColor="text1"/>
              </w:rPr>
              <w:t>Critical and Creative Engagement</w:t>
            </w:r>
            <w:r w:rsidR="00AC3C79" w:rsidRPr="68DB10BE"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Students disseminate information; communicate knowledge and the processes used to generate it; use effective formats to communicate quantitative and/or qualitative information.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FF"/>
            <w:hideMark/>
          </w:tcPr>
          <w:p w14:paraId="14D1FE4E" w14:textId="1B89F450" w:rsidR="00AC3C79" w:rsidRPr="00AC3C79" w:rsidRDefault="00AC3C79" w:rsidP="69FA3A5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Stat</w:t>
            </w:r>
            <w:r w:rsidR="4AE9902A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es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the full description point by point</w:t>
            </w:r>
            <w:r w:rsidR="7560985B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that is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Organize</w:t>
            </w:r>
            <w:r w:rsidR="1143FF5F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d 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within pre-set structure</w:t>
            </w:r>
            <w:r w:rsidR="6E6722E5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and format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EBDE3CB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Limid (e.g., o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ne mode of communication. One familiar audience. No engagement.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FF"/>
            <w:hideMark/>
          </w:tcPr>
          <w:p w14:paraId="5715A2C4" w14:textId="62763087" w:rsidR="00AC3C79" w:rsidRPr="00AC3C79" w:rsidRDefault="05875624" w:rsidP="69FA3A5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Shows </w:t>
            </w:r>
            <w:r w:rsidR="7BDC5C9A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ncreased dynamism in structure and delivery. Highlights key points through emphasis (voice intonation, additional mode of communication). Organiz</w:t>
            </w:r>
            <w:r w:rsidR="50877163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es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the structure with guidance and within context/requirements.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FEFF"/>
            <w:hideMark/>
          </w:tcPr>
          <w:p w14:paraId="74122E63" w14:textId="32FA4412" w:rsidR="00AC3C79" w:rsidRPr="00AC3C79" w:rsidRDefault="00AC3C79" w:rsidP="69FA3A5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Select</w:t>
            </w:r>
            <w:r w:rsidR="33CB39F8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="0E8E5980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</w:t>
            </w:r>
            <w:r w:rsidR="322A2FB1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combin</w:t>
            </w:r>
            <w:r w:rsidR="5EF56966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es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4DAE4E25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and 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use</w:t>
            </w:r>
            <w:r w:rsidR="04009542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effective formats to communicate quantitative and/or qualitative information. S</w:t>
            </w:r>
            <w:r w:rsidR="2D0A429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hows s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elective inclusion of information </w:t>
            </w:r>
            <w:r w:rsidR="49D14328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to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emphasize highlights. Generat</w:t>
            </w:r>
            <w:r w:rsidR="61E7DA5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es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or appropriately adapt</w:t>
            </w:r>
            <w:r w:rsidR="384B893B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a relevant format. Appropriate to specified audience and requirements. </w:t>
            </w:r>
            <w:r w:rsidR="79C28D9F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Any m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ulti-modal components</w:t>
            </w:r>
            <w:r w:rsidR="3F99EA3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are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effectively created, conveyed and aligned.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FEFF"/>
            <w:hideMark/>
          </w:tcPr>
          <w:p w14:paraId="788A8F76" w14:textId="0B53CA4E" w:rsidR="00AC3C79" w:rsidRPr="00AC3C79" w:rsidRDefault="00AC3C79" w:rsidP="69FA3A5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Adapt</w:t>
            </w:r>
            <w:r w:rsidR="14C1A28C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to specific and/or multiple stakeholder audiences, compelling means of conveying. Select</w:t>
            </w:r>
            <w:r w:rsidR="6C4CC392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tools specifically relevant to the type of </w:t>
            </w:r>
            <w:r w:rsidR="5414E48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information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they are sharing. (plus all of Meeting).</w:t>
            </w:r>
            <w:r w:rsidR="62D28B0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Disseminates processes, information, and communicate in ways that expands disciplinary or professional dialogues.</w:t>
            </w:r>
          </w:p>
        </w:tc>
      </w:tr>
      <w:tr w:rsidR="00AC3C79" w:rsidRPr="00AC3C79" w14:paraId="046C38A3" w14:textId="77777777" w:rsidTr="478B7119">
        <w:trPr>
          <w:trHeight w:val="1388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4A6CC6" w14:textId="09E78616" w:rsidR="00AC3C79" w:rsidRPr="00AC3C79" w:rsidRDefault="00557C10" w:rsidP="69FA3A5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 xml:space="preserve">6. </w:t>
            </w:r>
            <w:r w:rsidR="00AC3C79" w:rsidRPr="68DB10BE">
              <w:rPr>
                <w:rFonts w:ascii="Arial" w:eastAsia="Arial" w:hAnsi="Arial" w:cs="Arial"/>
                <w:b/>
                <w:bCs/>
                <w:color w:val="000000" w:themeColor="text1"/>
                <w:highlight w:val="yellow"/>
              </w:rPr>
              <w:t>Creative Innovation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highlight w:val="yellow"/>
              </w:rPr>
              <w:t>:</w:t>
            </w:r>
            <w:r w:rsidR="00AC3C79" w:rsidRPr="68DB10B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Students synthesize and apply knowledge in a novel or creative way (for example, use appropriate approaches in the creation and/or application of knowledge to address an issue or answer a question through critical and/or creative thinking).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BA332" w14:textId="37CECE87" w:rsidR="00AC3C79" w:rsidRPr="00AC3C79" w:rsidRDefault="0F8E3176" w:rsidP="68DB10BE">
            <w:pP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Reuses</w:t>
            </w:r>
            <w:r w:rsidR="3C07B7BF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an </w:t>
            </w:r>
            <w:r w:rsidR="51CFD7B1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existing and established </w:t>
            </w:r>
            <w:r w:rsidR="3C07B7BF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approach</w:t>
            </w:r>
            <w:r w:rsidR="2A4B2181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in the creation or application of knowledge.</w:t>
            </w:r>
            <w:r w:rsidR="19C4236D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19C4236D" w:rsidRPr="68DB10BE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19C4236D" w:rsidRPr="68DB10BE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</w:rPr>
              <w:t>[</w:t>
            </w:r>
            <w:r w:rsidR="1A48558F" w:rsidRPr="68DB10BE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</w:rPr>
              <w:t xml:space="preserve">LOATF, a </w:t>
            </w:r>
            <w:r w:rsidR="19C4236D" w:rsidRPr="68DB10BE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</w:rPr>
              <w:t>Creative innovation perspective needed, we have critically reflected and recognize our gaps]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0A900" w14:textId="4291BD43" w:rsidR="00AC3C79" w:rsidRPr="00AC3C79" w:rsidRDefault="0F8E3176" w:rsidP="69FA3A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sz w:val="22"/>
                <w:szCs w:val="22"/>
              </w:rPr>
              <w:t>Adapts</w:t>
            </w:r>
            <w:r w:rsidR="0D4CB701" w:rsidRPr="68DB10B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27361CF7" w:rsidRPr="68DB10BE">
              <w:rPr>
                <w:rFonts w:ascii="Arial" w:eastAsia="Arial" w:hAnsi="Arial" w:cs="Arial"/>
                <w:sz w:val="22"/>
                <w:szCs w:val="22"/>
              </w:rPr>
              <w:t>an existing or established approach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905E4F" w14:textId="0914042F" w:rsidR="00AC3C79" w:rsidRPr="00AC3C79" w:rsidRDefault="0F8E3176" w:rsidP="68DB10B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sz w:val="22"/>
                <w:szCs w:val="22"/>
              </w:rPr>
              <w:t>Experiments</w:t>
            </w:r>
            <w:r w:rsidR="574BC82C" w:rsidRPr="68DB10BE">
              <w:rPr>
                <w:rFonts w:ascii="Arial" w:eastAsia="Arial" w:hAnsi="Arial" w:cs="Arial"/>
                <w:sz w:val="22"/>
                <w:szCs w:val="22"/>
              </w:rPr>
              <w:t xml:space="preserve"> with </w:t>
            </w:r>
            <w:r w:rsidR="65081693" w:rsidRPr="68DB10BE">
              <w:rPr>
                <w:rFonts w:ascii="Arial" w:eastAsia="Arial" w:hAnsi="Arial" w:cs="Arial"/>
                <w:sz w:val="22"/>
                <w:szCs w:val="22"/>
              </w:rPr>
              <w:t>existing</w:t>
            </w:r>
            <w:r w:rsidR="574BC82C" w:rsidRPr="68DB10BE">
              <w:rPr>
                <w:rFonts w:ascii="Arial" w:eastAsia="Arial" w:hAnsi="Arial" w:cs="Arial"/>
                <w:sz w:val="22"/>
                <w:szCs w:val="22"/>
              </w:rPr>
              <w:t xml:space="preserve"> approaches</w:t>
            </w:r>
            <w:r w:rsidR="722539B5" w:rsidRPr="68DB10BE">
              <w:rPr>
                <w:rFonts w:ascii="Arial" w:eastAsia="Arial" w:hAnsi="Arial" w:cs="Arial"/>
                <w:sz w:val="22"/>
                <w:szCs w:val="22"/>
              </w:rPr>
              <w:t xml:space="preserve"> to attempt something new</w:t>
            </w:r>
            <w:r w:rsidR="57C5DBB0" w:rsidRPr="68DB10BE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3B6BDBFE" w:rsidRPr="68DB10BE">
              <w:rPr>
                <w:rFonts w:ascii="Arial" w:eastAsia="Arial" w:hAnsi="Arial" w:cs="Arial"/>
                <w:sz w:val="22"/>
                <w:szCs w:val="22"/>
              </w:rPr>
              <w:t xml:space="preserve"> Identifies </w:t>
            </w:r>
            <w:r w:rsidR="518D34EA" w:rsidRPr="68DB10BE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="57C5DBB0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mplications and application </w:t>
            </w:r>
            <w:r w:rsidR="49D9E376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for disciplinary field or </w:t>
            </w:r>
            <w:r w:rsidR="57C5DBB0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professional practice, community.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ED98A" w14:textId="5F6C934A" w:rsidR="00AC3C79" w:rsidRPr="00AC3C79" w:rsidRDefault="799AC827" w:rsidP="69FA3A5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Create n</w:t>
            </w:r>
            <w:r w:rsidR="41EA1C01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ovel or original </w:t>
            </w:r>
            <w:r w:rsidR="17E23463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synthesis</w:t>
            </w:r>
            <w:r w:rsidR="02A95B0F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of, approach to</w:t>
            </w:r>
            <w:r w:rsidR="17E23463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or application of knowledge </w:t>
            </w:r>
            <w:r w:rsidR="77212DB5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to </w:t>
            </w:r>
            <w:r w:rsidR="17E23463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address an issue or question. </w:t>
            </w:r>
            <w:r w:rsidR="00AC3C7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(plus all of Meeting).</w:t>
            </w:r>
          </w:p>
        </w:tc>
      </w:tr>
      <w:tr w:rsidR="00AC3C79" w:rsidRPr="00AC3C79" w14:paraId="30FF61A7" w14:textId="77777777" w:rsidTr="00EB1380">
        <w:trPr>
          <w:trHeight w:val="118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FF"/>
            <w:hideMark/>
          </w:tcPr>
          <w:p w14:paraId="46C56CDA" w14:textId="61EE78B6" w:rsidR="00AC3C79" w:rsidRPr="00AC3C79" w:rsidRDefault="00557C10" w:rsidP="69FA3A5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7. </w:t>
            </w:r>
            <w:r w:rsidR="00AC3C79" w:rsidRPr="69FA3A59">
              <w:rPr>
                <w:rFonts w:ascii="Arial" w:eastAsia="Arial" w:hAnsi="Arial" w:cs="Arial"/>
                <w:b/>
                <w:bCs/>
                <w:color w:val="000000" w:themeColor="text1"/>
              </w:rPr>
              <w:t>Critical Reflection:</w:t>
            </w:r>
            <w:r w:rsidR="00AC3C79" w:rsidRPr="69FA3A5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C3C79" w:rsidRPr="69FA3A5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Students acknowledge context and assumptions (for example, critically reflect on assumptions, including one’s own, and analyze the complexity of a problem or </w:t>
            </w:r>
            <w:r w:rsidR="00AC3C79" w:rsidRPr="69FA3A5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 xml:space="preserve">issue; critically account for the impact of assumptions and biases on knowledge generation processes).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FF"/>
            <w:noWrap/>
            <w:hideMark/>
          </w:tcPr>
          <w:p w14:paraId="1EEDC469" w14:textId="0BB96A27" w:rsidR="00AC3C79" w:rsidRPr="00AC3C79" w:rsidRDefault="1F1F0CCC" w:rsidP="68DB1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>Provides a basic description of the existence of</w:t>
            </w:r>
            <w:r w:rsidR="03BB2FD8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gaps </w:t>
            </w:r>
            <w:r w:rsidR="6A6733A0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and differing perspectives exist </w:t>
            </w:r>
            <w:r w:rsidR="787B5ABC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 their knowledge generation processes</w:t>
            </w:r>
            <w:r w:rsidR="6391D492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2BB41555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No or limited </w:t>
            </w:r>
            <w:r w:rsidR="6391D492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consideration of </w:t>
            </w:r>
            <w:r w:rsidR="6391D492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>multiple</w:t>
            </w:r>
            <w:r w:rsidR="64F39808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perspectives or assumptions.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FF"/>
            <w:noWrap/>
            <w:hideMark/>
          </w:tcPr>
          <w:p w14:paraId="017C2591" w14:textId="44E8A52A" w:rsidR="00AC3C79" w:rsidRPr="00AC3C79" w:rsidRDefault="2655E335" w:rsidP="68DB10B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>Provide some reasons</w:t>
            </w:r>
            <w:r w:rsidR="524B375C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connections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and implications.</w:t>
            </w:r>
          </w:p>
          <w:p w14:paraId="2294A220" w14:textId="5FF141C2" w:rsidR="00AC3C79" w:rsidRPr="00AC3C79" w:rsidRDefault="6391D492" w:rsidP="68DB10B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Identify some gaps </w:t>
            </w:r>
            <w:r w:rsidR="02F22031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their </w:t>
            </w:r>
            <w:r w:rsidR="4C200541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knowledge generation processes </w:t>
            </w:r>
            <w:r w:rsidR="326F2C93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including</w:t>
            </w:r>
            <w:r w:rsidR="142353EF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75F2E9F8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how </w:t>
            </w:r>
            <w:r w:rsidR="142353EF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some of </w:t>
            </w:r>
            <w:r w:rsidR="142353EF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>the perspectives that would differ and</w:t>
            </w:r>
            <w:r w:rsidR="29C938E4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their</w:t>
            </w:r>
            <w:r w:rsidR="142353EF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own assumptions</w:t>
            </w:r>
            <w:r w:rsidR="11462207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12F7A15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 w:rsidR="142353EF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egin to acknowledge the impact of those perspectives, gaps, and assumptions,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FEFF"/>
            <w:noWrap/>
            <w:hideMark/>
          </w:tcPr>
          <w:p w14:paraId="3B1C5F05" w14:textId="4574A2A4" w:rsidR="00AC3C79" w:rsidRPr="00AC3C79" w:rsidRDefault="6391D492" w:rsidP="68DB10BE">
            <w:pPr>
              <w:rPr>
                <w:rFonts w:ascii="Arial" w:eastAsia="Arial" w:hAnsi="Arial" w:cs="Arial"/>
                <w:color w:val="000000" w:themeColor="text1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 xml:space="preserve">Critically describe how own assumptions and thinking impacts their </w:t>
            </w:r>
            <w:r w:rsidR="7717EE34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knowledge generation processes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3BB2FD8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Critically reflect on assumptions, including one’s own assumptions, </w:t>
            </w:r>
            <w:r w:rsidR="33839F8D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to</w:t>
            </w:r>
            <w:r w:rsidR="03BB2FD8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3BB2FD8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>account for the impact of assumptions and biases on knowledge generation processes</w:t>
            </w:r>
            <w:r w:rsidR="6062E20E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FEFF"/>
            <w:hideMark/>
          </w:tcPr>
          <w:p w14:paraId="1AE7EA24" w14:textId="7A7990C4" w:rsidR="14994CF7" w:rsidRDefault="14994CF7" w:rsidP="68DB10B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 xml:space="preserve">Informed critical reflection that </w:t>
            </w:r>
            <w:r w:rsidR="43155500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connects the individual knowledge generation process with the wider context and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existing disciplinary and professional fields</w:t>
            </w:r>
            <w:r w:rsidR="0C00B318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2B5EFE94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>C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onsider</w:t>
            </w:r>
            <w:r w:rsidR="723055D4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the</w:t>
            </w:r>
            <w:r w:rsidR="55776601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wider</w:t>
            </w:r>
            <w:r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38AB2C40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complexity of the issue, and accoun</w:t>
            </w:r>
            <w:r w:rsidR="1E8790C9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="38AB2C40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ing for the broader </w:t>
            </w:r>
            <w:r w:rsidR="2F0700D2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impact</w:t>
            </w:r>
            <w:r w:rsidR="1D7D444D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  <w:r w:rsidR="38AB2C40" w:rsidRPr="68DB10B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A7621E6" w14:textId="77777777" w:rsidR="00AC3C79" w:rsidRPr="00AC3C79" w:rsidRDefault="00AC3C79" w:rsidP="69FA3A5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69FA3A5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(plus all of Meeting).</w:t>
            </w:r>
          </w:p>
        </w:tc>
      </w:tr>
      <w:tr w:rsidR="00AC3C79" w:rsidRPr="00AC3C79" w14:paraId="190811B3" w14:textId="77777777" w:rsidTr="478B7119">
        <w:trPr>
          <w:trHeight w:val="361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520920" w14:textId="77777777" w:rsidR="00AC3C79" w:rsidRPr="00AC3C79" w:rsidRDefault="00AC3C79" w:rsidP="69FA3A59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34F912" w14:textId="77777777" w:rsidR="00AC3C79" w:rsidRPr="00AC3C79" w:rsidRDefault="00AC3C79" w:rsidP="69FA3A59">
            <w:pPr>
              <w:rPr>
                <w:rFonts w:ascii="Arial" w:eastAsia="Arial" w:hAnsi="Arial" w:cs="Aria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442FAE" w14:textId="77777777" w:rsidR="00AC3C79" w:rsidRPr="00AC3C79" w:rsidRDefault="00AC3C79" w:rsidP="69FA3A59">
            <w:pPr>
              <w:rPr>
                <w:rFonts w:ascii="Arial" w:eastAsia="Arial" w:hAnsi="Arial" w:cs="Arial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E6280F" w14:textId="77777777" w:rsidR="00AC3C79" w:rsidRPr="00AC3C79" w:rsidRDefault="00AC3C79" w:rsidP="69FA3A59">
            <w:pPr>
              <w:rPr>
                <w:rFonts w:ascii="Arial" w:eastAsia="Arial" w:hAnsi="Arial" w:cs="Arial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9BBF55" w14:textId="77777777" w:rsidR="00AC3C79" w:rsidRPr="00AC3C79" w:rsidRDefault="00AC3C79" w:rsidP="69FA3A59">
            <w:pPr>
              <w:rPr>
                <w:rFonts w:ascii="Arial" w:eastAsia="Arial" w:hAnsi="Arial" w:cs="Arial"/>
              </w:rPr>
            </w:pPr>
          </w:p>
        </w:tc>
      </w:tr>
      <w:tr w:rsidR="00AC3C79" w:rsidRPr="00AC3C79" w14:paraId="4F081CA4" w14:textId="77777777" w:rsidTr="478B7119">
        <w:trPr>
          <w:trHeight w:val="36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BB021" w14:textId="77777777" w:rsidR="00AC3C79" w:rsidRPr="00AC3C79" w:rsidRDefault="00AC3C79" w:rsidP="69FA3A59">
            <w:pPr>
              <w:rPr>
                <w:rFonts w:ascii="Arial" w:eastAsia="Arial" w:hAnsi="Arial" w:cs="Arial"/>
                <w:color w:val="000000"/>
              </w:rPr>
            </w:pPr>
            <w:r w:rsidRPr="69FA3A59">
              <w:rPr>
                <w:rFonts w:ascii="Arial" w:eastAsia="Arial" w:hAnsi="Arial" w:cs="Arial"/>
                <w:color w:val="000000" w:themeColor="text1"/>
              </w:rPr>
              <w:t>After ILO course (Year 1-3)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0C0D35B" w14:textId="77777777" w:rsidR="00AC3C79" w:rsidRPr="00AC3C79" w:rsidRDefault="00AC3C79" w:rsidP="69FA3A59">
            <w:pPr>
              <w:rPr>
                <w:rFonts w:ascii="Arial" w:eastAsia="Arial" w:hAnsi="Arial" w:cs="Arial"/>
                <w:color w:val="000000"/>
              </w:rPr>
            </w:pPr>
            <w:r w:rsidRPr="69FA3A59">
              <w:rPr>
                <w:rFonts w:ascii="Arial" w:eastAsia="Arial" w:hAnsi="Arial" w:cs="Arial"/>
                <w:color w:val="000000" w:themeColor="text1"/>
              </w:rPr>
              <w:t>Not here hopefully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91D15" w14:textId="77777777" w:rsidR="00AC3C79" w:rsidRPr="00AC3C79" w:rsidRDefault="00AC3C79" w:rsidP="69FA3A59">
            <w:pPr>
              <w:rPr>
                <w:rFonts w:ascii="Arial" w:eastAsia="Arial" w:hAnsi="Arial" w:cs="Arial"/>
                <w:color w:val="000000"/>
              </w:rPr>
            </w:pPr>
            <w:r w:rsidRPr="69FA3A59">
              <w:rPr>
                <w:rFonts w:ascii="Arial" w:eastAsia="Arial" w:hAnsi="Arial" w:cs="Arial"/>
                <w:color w:val="000000" w:themeColor="text1"/>
              </w:rPr>
              <w:t>Hopefully here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D6BFE" w14:textId="77777777" w:rsidR="00AC3C79" w:rsidRPr="00AC3C79" w:rsidRDefault="00AC3C79" w:rsidP="69FA3A59">
            <w:pPr>
              <w:rPr>
                <w:rFonts w:ascii="Arial" w:eastAsia="Arial" w:hAnsi="Arial" w:cs="Arial"/>
                <w:color w:val="000000"/>
              </w:rPr>
            </w:pPr>
            <w:r w:rsidRPr="69FA3A59">
              <w:rPr>
                <w:rFonts w:ascii="Arial" w:eastAsia="Arial" w:hAnsi="Arial" w:cs="Arial"/>
                <w:color w:val="000000" w:themeColor="text1"/>
              </w:rPr>
              <w:t>Ideally here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4E669" w14:textId="77777777" w:rsidR="00AC3C79" w:rsidRPr="00AC3C79" w:rsidRDefault="00AC3C79" w:rsidP="69FA3A59">
            <w:pPr>
              <w:rPr>
                <w:rFonts w:ascii="Arial" w:eastAsia="Arial" w:hAnsi="Arial" w:cs="Arial"/>
                <w:color w:val="000000"/>
              </w:rPr>
            </w:pPr>
            <w:r w:rsidRPr="69FA3A59">
              <w:rPr>
                <w:rFonts w:ascii="Arial" w:eastAsia="Arial" w:hAnsi="Arial" w:cs="Arial"/>
                <w:color w:val="000000" w:themeColor="text1"/>
              </w:rPr>
              <w:t>(1 in a hundred here)</w:t>
            </w:r>
          </w:p>
        </w:tc>
      </w:tr>
      <w:tr w:rsidR="00AC3C79" w:rsidRPr="00AC3C79" w14:paraId="4165705F" w14:textId="77777777" w:rsidTr="478B7119">
        <w:trPr>
          <w:trHeight w:val="36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F98E6" w14:textId="77777777" w:rsidR="00AC3C79" w:rsidRPr="00AC3C79" w:rsidRDefault="00AC3C79" w:rsidP="69FA3A59">
            <w:pPr>
              <w:rPr>
                <w:rFonts w:ascii="Arial" w:eastAsia="Arial" w:hAnsi="Arial" w:cs="Arial"/>
                <w:color w:val="000000"/>
              </w:rPr>
            </w:pPr>
            <w:r w:rsidRPr="69FA3A59">
              <w:rPr>
                <w:rFonts w:ascii="Arial" w:eastAsia="Arial" w:hAnsi="Arial" w:cs="Arial"/>
                <w:color w:val="000000" w:themeColor="text1"/>
              </w:rPr>
              <w:t>After Capstone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95072" w14:textId="77777777" w:rsidR="00AC3C79" w:rsidRPr="00AC3C79" w:rsidRDefault="00AC3C79" w:rsidP="69FA3A59">
            <w:pPr>
              <w:rPr>
                <w:rFonts w:ascii="Arial" w:eastAsia="Arial" w:hAnsi="Arial" w:cs="Arial"/>
                <w:color w:val="000000"/>
              </w:rPr>
            </w:pPr>
            <w:r w:rsidRPr="69FA3A59">
              <w:rPr>
                <w:rFonts w:ascii="Arial" w:eastAsia="Arial" w:hAnsi="Arial" w:cs="Arial"/>
                <w:color w:val="000000" w:themeColor="text1"/>
              </w:rPr>
              <w:t>(hopefully rare)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2F01BA6" w14:textId="77777777" w:rsidR="00AC3C79" w:rsidRPr="00AC3C79" w:rsidRDefault="00AC3C79" w:rsidP="69FA3A59">
            <w:pPr>
              <w:rPr>
                <w:rFonts w:ascii="Arial" w:eastAsia="Arial" w:hAnsi="Arial" w:cs="Arial"/>
                <w:color w:val="000000"/>
              </w:rPr>
            </w:pPr>
            <w:r w:rsidRPr="69FA3A59">
              <w:rPr>
                <w:rFonts w:ascii="Arial" w:eastAsia="Arial" w:hAnsi="Arial" w:cs="Arial"/>
                <w:color w:val="000000" w:themeColor="text1"/>
              </w:rPr>
              <w:t>Not here hopefully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1A16D" w14:textId="77777777" w:rsidR="00AC3C79" w:rsidRPr="00AC3C79" w:rsidRDefault="00AC3C79" w:rsidP="69FA3A59">
            <w:pPr>
              <w:rPr>
                <w:rFonts w:ascii="Arial" w:eastAsia="Arial" w:hAnsi="Arial" w:cs="Arial"/>
                <w:color w:val="000000"/>
              </w:rPr>
            </w:pPr>
            <w:r w:rsidRPr="69FA3A59">
              <w:rPr>
                <w:rFonts w:ascii="Arial" w:eastAsia="Arial" w:hAnsi="Arial" w:cs="Arial"/>
                <w:color w:val="000000" w:themeColor="text1"/>
              </w:rPr>
              <w:t>Hopefully here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A784A" w14:textId="77777777" w:rsidR="00AC3C79" w:rsidRPr="00AC3C79" w:rsidRDefault="00AC3C79" w:rsidP="69FA3A59">
            <w:pPr>
              <w:rPr>
                <w:rFonts w:ascii="Arial" w:eastAsia="Arial" w:hAnsi="Arial" w:cs="Arial"/>
                <w:color w:val="000000"/>
              </w:rPr>
            </w:pPr>
            <w:r w:rsidRPr="69FA3A59">
              <w:rPr>
                <w:rFonts w:ascii="Arial" w:eastAsia="Arial" w:hAnsi="Arial" w:cs="Arial"/>
                <w:color w:val="000000" w:themeColor="text1"/>
              </w:rPr>
              <w:t>Ideally here</w:t>
            </w:r>
          </w:p>
        </w:tc>
      </w:tr>
    </w:tbl>
    <w:p w14:paraId="34FDBA87" w14:textId="77777777" w:rsidR="00AB7185" w:rsidRDefault="00AB7185" w:rsidP="69FA3A59">
      <w:pPr>
        <w:rPr>
          <w:rFonts w:ascii="Arial" w:eastAsia="Arial" w:hAnsi="Arial" w:cs="Arial"/>
        </w:rPr>
      </w:pPr>
    </w:p>
    <w:sectPr w:rsidR="00AB7185" w:rsidSect="00AC3C7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41AEF"/>
    <w:multiLevelType w:val="hybridMultilevel"/>
    <w:tmpl w:val="0590A072"/>
    <w:lvl w:ilvl="0" w:tplc="E21A9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4853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A984F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8C8AE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20231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F5234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74C0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F4E9C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F56F0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79"/>
    <w:rsid w:val="000410B7"/>
    <w:rsid w:val="000DC810"/>
    <w:rsid w:val="00171C6A"/>
    <w:rsid w:val="00217C49"/>
    <w:rsid w:val="003F1940"/>
    <w:rsid w:val="00557C10"/>
    <w:rsid w:val="00615A9D"/>
    <w:rsid w:val="008272C5"/>
    <w:rsid w:val="00AB7185"/>
    <w:rsid w:val="00AC3C79"/>
    <w:rsid w:val="00BC4081"/>
    <w:rsid w:val="00CA542F"/>
    <w:rsid w:val="00D4740E"/>
    <w:rsid w:val="00EB1380"/>
    <w:rsid w:val="015ADF91"/>
    <w:rsid w:val="01668F3B"/>
    <w:rsid w:val="0238B561"/>
    <w:rsid w:val="028411D1"/>
    <w:rsid w:val="02A95B0F"/>
    <w:rsid w:val="02CAA069"/>
    <w:rsid w:val="02F1204C"/>
    <w:rsid w:val="02F22031"/>
    <w:rsid w:val="030CF466"/>
    <w:rsid w:val="031CCB90"/>
    <w:rsid w:val="0340C64D"/>
    <w:rsid w:val="034DD977"/>
    <w:rsid w:val="03BB2FD8"/>
    <w:rsid w:val="03C7CA66"/>
    <w:rsid w:val="03F66922"/>
    <w:rsid w:val="03FB5E75"/>
    <w:rsid w:val="04009542"/>
    <w:rsid w:val="0405EDA8"/>
    <w:rsid w:val="0417DB46"/>
    <w:rsid w:val="045C6B5A"/>
    <w:rsid w:val="0503E166"/>
    <w:rsid w:val="051FEC4D"/>
    <w:rsid w:val="0571632C"/>
    <w:rsid w:val="05875624"/>
    <w:rsid w:val="058A8B89"/>
    <w:rsid w:val="05912425"/>
    <w:rsid w:val="05BEF691"/>
    <w:rsid w:val="06195992"/>
    <w:rsid w:val="061C3321"/>
    <w:rsid w:val="0678558A"/>
    <w:rsid w:val="06C1B37D"/>
    <w:rsid w:val="071D99C9"/>
    <w:rsid w:val="07220814"/>
    <w:rsid w:val="07473E1A"/>
    <w:rsid w:val="079E2A85"/>
    <w:rsid w:val="087AD395"/>
    <w:rsid w:val="08C22C4B"/>
    <w:rsid w:val="08F69753"/>
    <w:rsid w:val="09538635"/>
    <w:rsid w:val="09FA452B"/>
    <w:rsid w:val="0A4796D6"/>
    <w:rsid w:val="0A9BDD3E"/>
    <w:rsid w:val="0AA46E12"/>
    <w:rsid w:val="0BA23CC9"/>
    <w:rsid w:val="0BACF73F"/>
    <w:rsid w:val="0BB11778"/>
    <w:rsid w:val="0BF584CA"/>
    <w:rsid w:val="0C00B318"/>
    <w:rsid w:val="0C16D6DA"/>
    <w:rsid w:val="0C33BD23"/>
    <w:rsid w:val="0C65149D"/>
    <w:rsid w:val="0CC1DF1E"/>
    <w:rsid w:val="0D1390F1"/>
    <w:rsid w:val="0D4ABD06"/>
    <w:rsid w:val="0D4CB701"/>
    <w:rsid w:val="0DC4215A"/>
    <w:rsid w:val="0DFFCE90"/>
    <w:rsid w:val="0E12062C"/>
    <w:rsid w:val="0E6B0D05"/>
    <w:rsid w:val="0E7D2A98"/>
    <w:rsid w:val="0E88C631"/>
    <w:rsid w:val="0E8E5980"/>
    <w:rsid w:val="0EA0EB3D"/>
    <w:rsid w:val="0EBDE3CB"/>
    <w:rsid w:val="0F3A85C1"/>
    <w:rsid w:val="0F8E3176"/>
    <w:rsid w:val="100812D4"/>
    <w:rsid w:val="1035D418"/>
    <w:rsid w:val="10B5F9AD"/>
    <w:rsid w:val="1104D066"/>
    <w:rsid w:val="1143FF5F"/>
    <w:rsid w:val="11462207"/>
    <w:rsid w:val="1176DE92"/>
    <w:rsid w:val="119D9DAA"/>
    <w:rsid w:val="11BCAD4D"/>
    <w:rsid w:val="11CB0FCE"/>
    <w:rsid w:val="11F56C2B"/>
    <w:rsid w:val="12AB415D"/>
    <w:rsid w:val="12EFE4B1"/>
    <w:rsid w:val="12F7A159"/>
    <w:rsid w:val="1302A3AF"/>
    <w:rsid w:val="136FA594"/>
    <w:rsid w:val="13ACACA1"/>
    <w:rsid w:val="13F41A1B"/>
    <w:rsid w:val="142353EF"/>
    <w:rsid w:val="1452A763"/>
    <w:rsid w:val="146034CA"/>
    <w:rsid w:val="14945B6F"/>
    <w:rsid w:val="14994CF7"/>
    <w:rsid w:val="149E7410"/>
    <w:rsid w:val="14B4CA9D"/>
    <w:rsid w:val="14C1A28C"/>
    <w:rsid w:val="14F54ECB"/>
    <w:rsid w:val="15BE2380"/>
    <w:rsid w:val="163A4471"/>
    <w:rsid w:val="164CA45D"/>
    <w:rsid w:val="1683EB5E"/>
    <w:rsid w:val="16A0F258"/>
    <w:rsid w:val="16A88E36"/>
    <w:rsid w:val="16CD04FC"/>
    <w:rsid w:val="17D614D2"/>
    <w:rsid w:val="17E23463"/>
    <w:rsid w:val="18126631"/>
    <w:rsid w:val="1822BB98"/>
    <w:rsid w:val="183934FB"/>
    <w:rsid w:val="1839EFB2"/>
    <w:rsid w:val="189B645C"/>
    <w:rsid w:val="189B86F1"/>
    <w:rsid w:val="18B1EB38"/>
    <w:rsid w:val="18D123E9"/>
    <w:rsid w:val="1902C661"/>
    <w:rsid w:val="19504A88"/>
    <w:rsid w:val="1981E8E1"/>
    <w:rsid w:val="19C4236D"/>
    <w:rsid w:val="19D4768E"/>
    <w:rsid w:val="1A0B8731"/>
    <w:rsid w:val="1A3BF4DD"/>
    <w:rsid w:val="1A48558F"/>
    <w:rsid w:val="1A63F28C"/>
    <w:rsid w:val="1A9750A7"/>
    <w:rsid w:val="1AACA1EB"/>
    <w:rsid w:val="1AED826D"/>
    <w:rsid w:val="1AEDE640"/>
    <w:rsid w:val="1AF48D37"/>
    <w:rsid w:val="1B6FC79A"/>
    <w:rsid w:val="1B85A976"/>
    <w:rsid w:val="1BA33EDD"/>
    <w:rsid w:val="1BCE3E88"/>
    <w:rsid w:val="1BE47C68"/>
    <w:rsid w:val="1C3CEE59"/>
    <w:rsid w:val="1CCFBB21"/>
    <w:rsid w:val="1CEA8B6D"/>
    <w:rsid w:val="1CF59BA4"/>
    <w:rsid w:val="1D394DC2"/>
    <w:rsid w:val="1D7D444D"/>
    <w:rsid w:val="1D8F26D2"/>
    <w:rsid w:val="1DAEE89A"/>
    <w:rsid w:val="1DE05479"/>
    <w:rsid w:val="1DE5A373"/>
    <w:rsid w:val="1E25232F"/>
    <w:rsid w:val="1E2B6CB6"/>
    <w:rsid w:val="1E615FE5"/>
    <w:rsid w:val="1E8790C9"/>
    <w:rsid w:val="1E8951FC"/>
    <w:rsid w:val="1EC50D80"/>
    <w:rsid w:val="1EC5CD10"/>
    <w:rsid w:val="1F1F0CCC"/>
    <w:rsid w:val="1F1FEAC1"/>
    <w:rsid w:val="1F3401BB"/>
    <w:rsid w:val="1F68E526"/>
    <w:rsid w:val="1FEF4CD1"/>
    <w:rsid w:val="20179130"/>
    <w:rsid w:val="202CBAC4"/>
    <w:rsid w:val="20DF19B7"/>
    <w:rsid w:val="213B512E"/>
    <w:rsid w:val="221464E5"/>
    <w:rsid w:val="2260BB04"/>
    <w:rsid w:val="22671871"/>
    <w:rsid w:val="22A2628C"/>
    <w:rsid w:val="22D73598"/>
    <w:rsid w:val="23427EF6"/>
    <w:rsid w:val="23AF4DDC"/>
    <w:rsid w:val="23FFEFFC"/>
    <w:rsid w:val="243C5907"/>
    <w:rsid w:val="245DF620"/>
    <w:rsid w:val="24ECAF18"/>
    <w:rsid w:val="2513381A"/>
    <w:rsid w:val="254BEC8A"/>
    <w:rsid w:val="256E5F1A"/>
    <w:rsid w:val="2655E335"/>
    <w:rsid w:val="26856FBA"/>
    <w:rsid w:val="268BA1FC"/>
    <w:rsid w:val="26A10B74"/>
    <w:rsid w:val="26AF087B"/>
    <w:rsid w:val="27314666"/>
    <w:rsid w:val="27361CF7"/>
    <w:rsid w:val="277F4939"/>
    <w:rsid w:val="27811F2C"/>
    <w:rsid w:val="27E98268"/>
    <w:rsid w:val="28097AB8"/>
    <w:rsid w:val="2843E775"/>
    <w:rsid w:val="2860BF37"/>
    <w:rsid w:val="28801F56"/>
    <w:rsid w:val="28B1F76A"/>
    <w:rsid w:val="28E57CC3"/>
    <w:rsid w:val="294C58F8"/>
    <w:rsid w:val="295855D4"/>
    <w:rsid w:val="2996CF35"/>
    <w:rsid w:val="29AB0199"/>
    <w:rsid w:val="29C938E4"/>
    <w:rsid w:val="29D118BC"/>
    <w:rsid w:val="29F43303"/>
    <w:rsid w:val="2A056703"/>
    <w:rsid w:val="2A4B2181"/>
    <w:rsid w:val="2AE8C605"/>
    <w:rsid w:val="2B083879"/>
    <w:rsid w:val="2B219F90"/>
    <w:rsid w:val="2B5EFE94"/>
    <w:rsid w:val="2B64B2B6"/>
    <w:rsid w:val="2BB41555"/>
    <w:rsid w:val="2C09BEF3"/>
    <w:rsid w:val="2C10D63F"/>
    <w:rsid w:val="2C555258"/>
    <w:rsid w:val="2C710497"/>
    <w:rsid w:val="2CB3FCF3"/>
    <w:rsid w:val="2CBE0D92"/>
    <w:rsid w:val="2CECF8F1"/>
    <w:rsid w:val="2CFC66F4"/>
    <w:rsid w:val="2CFD4761"/>
    <w:rsid w:val="2D0A4299"/>
    <w:rsid w:val="2D3A9F4D"/>
    <w:rsid w:val="2D4EE4E6"/>
    <w:rsid w:val="2DB93A83"/>
    <w:rsid w:val="2DDD4FE6"/>
    <w:rsid w:val="2F0700D2"/>
    <w:rsid w:val="2F1C3464"/>
    <w:rsid w:val="2F2DFC89"/>
    <w:rsid w:val="2FC1B618"/>
    <w:rsid w:val="2FC5DC83"/>
    <w:rsid w:val="30317E46"/>
    <w:rsid w:val="303C8F93"/>
    <w:rsid w:val="306BF88A"/>
    <w:rsid w:val="30A29330"/>
    <w:rsid w:val="30B79F60"/>
    <w:rsid w:val="30D482A8"/>
    <w:rsid w:val="314F485F"/>
    <w:rsid w:val="317AD541"/>
    <w:rsid w:val="31AB2EB5"/>
    <w:rsid w:val="322A2FB1"/>
    <w:rsid w:val="32611B08"/>
    <w:rsid w:val="326F2C93"/>
    <w:rsid w:val="33137E74"/>
    <w:rsid w:val="332E3E6C"/>
    <w:rsid w:val="33314928"/>
    <w:rsid w:val="3381ECEC"/>
    <w:rsid w:val="33839F8D"/>
    <w:rsid w:val="33889042"/>
    <w:rsid w:val="33CB39F8"/>
    <w:rsid w:val="33E58E73"/>
    <w:rsid w:val="33FCEB69"/>
    <w:rsid w:val="34158C28"/>
    <w:rsid w:val="3431E7E0"/>
    <w:rsid w:val="34949AF8"/>
    <w:rsid w:val="35A10160"/>
    <w:rsid w:val="35AAFF96"/>
    <w:rsid w:val="3625537D"/>
    <w:rsid w:val="36455227"/>
    <w:rsid w:val="3681ABAE"/>
    <w:rsid w:val="3695D087"/>
    <w:rsid w:val="37273D1C"/>
    <w:rsid w:val="3753442E"/>
    <w:rsid w:val="37C7FA2B"/>
    <w:rsid w:val="37CB3676"/>
    <w:rsid w:val="37F0E43A"/>
    <w:rsid w:val="384B893B"/>
    <w:rsid w:val="38AB2C40"/>
    <w:rsid w:val="38BA953F"/>
    <w:rsid w:val="3A00158C"/>
    <w:rsid w:val="3A4B6D03"/>
    <w:rsid w:val="3A93D5EB"/>
    <w:rsid w:val="3AC3C074"/>
    <w:rsid w:val="3AD4FB4B"/>
    <w:rsid w:val="3B39DC06"/>
    <w:rsid w:val="3B42D707"/>
    <w:rsid w:val="3B6BDBFE"/>
    <w:rsid w:val="3C07B7BF"/>
    <w:rsid w:val="3C091D43"/>
    <w:rsid w:val="3C107C16"/>
    <w:rsid w:val="3C5154F3"/>
    <w:rsid w:val="3CC5370A"/>
    <w:rsid w:val="3D12C169"/>
    <w:rsid w:val="3D55460B"/>
    <w:rsid w:val="3DF49D6C"/>
    <w:rsid w:val="3EAAAFF9"/>
    <w:rsid w:val="3EAE91CA"/>
    <w:rsid w:val="3EF8CEFD"/>
    <w:rsid w:val="3F3C24AC"/>
    <w:rsid w:val="3F99BE0A"/>
    <w:rsid w:val="3F99EA39"/>
    <w:rsid w:val="3FACD86B"/>
    <w:rsid w:val="4078C073"/>
    <w:rsid w:val="40830704"/>
    <w:rsid w:val="40B41845"/>
    <w:rsid w:val="4168E2DE"/>
    <w:rsid w:val="4177D0AE"/>
    <w:rsid w:val="41A0CB80"/>
    <w:rsid w:val="41EA1C01"/>
    <w:rsid w:val="4219C7D3"/>
    <w:rsid w:val="42A50D28"/>
    <w:rsid w:val="42CC4621"/>
    <w:rsid w:val="42FA108D"/>
    <w:rsid w:val="43155500"/>
    <w:rsid w:val="434323AF"/>
    <w:rsid w:val="43B46CC7"/>
    <w:rsid w:val="43BAA7C6"/>
    <w:rsid w:val="444E6309"/>
    <w:rsid w:val="4472AB4C"/>
    <w:rsid w:val="449BF317"/>
    <w:rsid w:val="44AE3344"/>
    <w:rsid w:val="44D090F0"/>
    <w:rsid w:val="4506D226"/>
    <w:rsid w:val="456AE12A"/>
    <w:rsid w:val="45782810"/>
    <w:rsid w:val="45BCE59A"/>
    <w:rsid w:val="465EB838"/>
    <w:rsid w:val="46696C35"/>
    <w:rsid w:val="46CBE36D"/>
    <w:rsid w:val="47050495"/>
    <w:rsid w:val="471377E2"/>
    <w:rsid w:val="47748C81"/>
    <w:rsid w:val="47891B1F"/>
    <w:rsid w:val="478B7119"/>
    <w:rsid w:val="47AA4C0E"/>
    <w:rsid w:val="47B487F4"/>
    <w:rsid w:val="47C146D6"/>
    <w:rsid w:val="47E60B7B"/>
    <w:rsid w:val="47F7FF61"/>
    <w:rsid w:val="48027D19"/>
    <w:rsid w:val="480EF58A"/>
    <w:rsid w:val="48D1E0E8"/>
    <w:rsid w:val="490E81F1"/>
    <w:rsid w:val="4958E501"/>
    <w:rsid w:val="4963B7E0"/>
    <w:rsid w:val="49AFA33A"/>
    <w:rsid w:val="49BEE93A"/>
    <w:rsid w:val="49D14328"/>
    <w:rsid w:val="49D9E376"/>
    <w:rsid w:val="4A72AD51"/>
    <w:rsid w:val="4A804DE1"/>
    <w:rsid w:val="4AE9902A"/>
    <w:rsid w:val="4B20178E"/>
    <w:rsid w:val="4B627AF3"/>
    <w:rsid w:val="4BBC4421"/>
    <w:rsid w:val="4BBC551D"/>
    <w:rsid w:val="4BC5C942"/>
    <w:rsid w:val="4BE2A63D"/>
    <w:rsid w:val="4C200541"/>
    <w:rsid w:val="4C3C6699"/>
    <w:rsid w:val="4D581482"/>
    <w:rsid w:val="4DAE4E25"/>
    <w:rsid w:val="4E02C901"/>
    <w:rsid w:val="4E0CDBAA"/>
    <w:rsid w:val="4E107DAA"/>
    <w:rsid w:val="4E12387F"/>
    <w:rsid w:val="4EB29EBF"/>
    <w:rsid w:val="4EEB34E6"/>
    <w:rsid w:val="4F98D2A0"/>
    <w:rsid w:val="5021D096"/>
    <w:rsid w:val="503CF6E0"/>
    <w:rsid w:val="50877163"/>
    <w:rsid w:val="50992ACE"/>
    <w:rsid w:val="50C0E104"/>
    <w:rsid w:val="5124DE42"/>
    <w:rsid w:val="518D34EA"/>
    <w:rsid w:val="51CFD7B1"/>
    <w:rsid w:val="51D1BC77"/>
    <w:rsid w:val="51D8C741"/>
    <w:rsid w:val="51EEDA25"/>
    <w:rsid w:val="524B375C"/>
    <w:rsid w:val="52FB5AF9"/>
    <w:rsid w:val="5367FD32"/>
    <w:rsid w:val="53B7FAFA"/>
    <w:rsid w:val="53E0CA97"/>
    <w:rsid w:val="53EE3DD9"/>
    <w:rsid w:val="5414E489"/>
    <w:rsid w:val="54537ECD"/>
    <w:rsid w:val="5460B7B4"/>
    <w:rsid w:val="5465980E"/>
    <w:rsid w:val="5485C17F"/>
    <w:rsid w:val="54A55AFB"/>
    <w:rsid w:val="54D45035"/>
    <w:rsid w:val="54F6F372"/>
    <w:rsid w:val="55095D39"/>
    <w:rsid w:val="55776601"/>
    <w:rsid w:val="55E64A78"/>
    <w:rsid w:val="55F5FBBE"/>
    <w:rsid w:val="56702096"/>
    <w:rsid w:val="56B16363"/>
    <w:rsid w:val="56EF43F5"/>
    <w:rsid w:val="570238A0"/>
    <w:rsid w:val="57209BD5"/>
    <w:rsid w:val="5736D6BB"/>
    <w:rsid w:val="574BC82C"/>
    <w:rsid w:val="57929DD1"/>
    <w:rsid w:val="57C5DBB0"/>
    <w:rsid w:val="57EBFB25"/>
    <w:rsid w:val="584D33C4"/>
    <w:rsid w:val="588B1456"/>
    <w:rsid w:val="58C68B1B"/>
    <w:rsid w:val="58C7F182"/>
    <w:rsid w:val="59004700"/>
    <w:rsid w:val="5907DD5E"/>
    <w:rsid w:val="590CA327"/>
    <w:rsid w:val="591F315C"/>
    <w:rsid w:val="592AE3C5"/>
    <w:rsid w:val="595C30FD"/>
    <w:rsid w:val="597FF54A"/>
    <w:rsid w:val="59EC9F10"/>
    <w:rsid w:val="5A14D714"/>
    <w:rsid w:val="5A18E0A5"/>
    <w:rsid w:val="5A30B923"/>
    <w:rsid w:val="5AA51265"/>
    <w:rsid w:val="5AD0914F"/>
    <w:rsid w:val="5B9C21E8"/>
    <w:rsid w:val="5C66D20A"/>
    <w:rsid w:val="5C75E8EC"/>
    <w:rsid w:val="5CC6F92B"/>
    <w:rsid w:val="5CE0C444"/>
    <w:rsid w:val="5D146F1E"/>
    <w:rsid w:val="5D65E25E"/>
    <w:rsid w:val="5D7721EA"/>
    <w:rsid w:val="5DE138B6"/>
    <w:rsid w:val="5E4BFA10"/>
    <w:rsid w:val="5EBB6B12"/>
    <w:rsid w:val="5EF56966"/>
    <w:rsid w:val="5F1DD0BB"/>
    <w:rsid w:val="5F2D8194"/>
    <w:rsid w:val="5F978BB7"/>
    <w:rsid w:val="5FD174A7"/>
    <w:rsid w:val="5FDD3C6C"/>
    <w:rsid w:val="5FDFB493"/>
    <w:rsid w:val="5FFEDEB0"/>
    <w:rsid w:val="600D450E"/>
    <w:rsid w:val="6052A7D2"/>
    <w:rsid w:val="6062E20E"/>
    <w:rsid w:val="607E9D08"/>
    <w:rsid w:val="610C6B45"/>
    <w:rsid w:val="6184D45A"/>
    <w:rsid w:val="61E7DA59"/>
    <w:rsid w:val="61E8299C"/>
    <w:rsid w:val="61EE436C"/>
    <w:rsid w:val="620850D1"/>
    <w:rsid w:val="6248A9B5"/>
    <w:rsid w:val="6249FF60"/>
    <w:rsid w:val="6286A05E"/>
    <w:rsid w:val="628CD695"/>
    <w:rsid w:val="62CFF7B3"/>
    <w:rsid w:val="62D28B09"/>
    <w:rsid w:val="62E7D8FD"/>
    <w:rsid w:val="634D1683"/>
    <w:rsid w:val="6391D492"/>
    <w:rsid w:val="63B3464A"/>
    <w:rsid w:val="64379501"/>
    <w:rsid w:val="645331E6"/>
    <w:rsid w:val="6463742B"/>
    <w:rsid w:val="64655602"/>
    <w:rsid w:val="647B68E6"/>
    <w:rsid w:val="64A6E066"/>
    <w:rsid w:val="64ED161B"/>
    <w:rsid w:val="64F39808"/>
    <w:rsid w:val="65081693"/>
    <w:rsid w:val="65128E6F"/>
    <w:rsid w:val="651FB8D3"/>
    <w:rsid w:val="6536592E"/>
    <w:rsid w:val="65CAC822"/>
    <w:rsid w:val="661BFEA4"/>
    <w:rsid w:val="66350C14"/>
    <w:rsid w:val="6648A7A7"/>
    <w:rsid w:val="664C1319"/>
    <w:rsid w:val="66B3BEE8"/>
    <w:rsid w:val="66CA5426"/>
    <w:rsid w:val="66DE308E"/>
    <w:rsid w:val="676F41A9"/>
    <w:rsid w:val="67AC7A09"/>
    <w:rsid w:val="67CC15CC"/>
    <w:rsid w:val="680B5488"/>
    <w:rsid w:val="68167E48"/>
    <w:rsid w:val="689F95F5"/>
    <w:rsid w:val="68B3CBD2"/>
    <w:rsid w:val="68DB10BE"/>
    <w:rsid w:val="68EBCF53"/>
    <w:rsid w:val="690A871F"/>
    <w:rsid w:val="690B120A"/>
    <w:rsid w:val="6961292C"/>
    <w:rsid w:val="6983D772"/>
    <w:rsid w:val="69988794"/>
    <w:rsid w:val="69AF02E9"/>
    <w:rsid w:val="69D3060F"/>
    <w:rsid w:val="69DF207F"/>
    <w:rsid w:val="69FA3A59"/>
    <w:rsid w:val="69FAA0B4"/>
    <w:rsid w:val="6A02D6CF"/>
    <w:rsid w:val="6A40417A"/>
    <w:rsid w:val="6A6733A0"/>
    <w:rsid w:val="6A6F63D3"/>
    <w:rsid w:val="6AD9C285"/>
    <w:rsid w:val="6B96B00D"/>
    <w:rsid w:val="6C4CC392"/>
    <w:rsid w:val="6C4DA9AA"/>
    <w:rsid w:val="6C619CA5"/>
    <w:rsid w:val="6CC423D1"/>
    <w:rsid w:val="6CE1CE5B"/>
    <w:rsid w:val="6D247C9F"/>
    <w:rsid w:val="6D7E7482"/>
    <w:rsid w:val="6E1E55DB"/>
    <w:rsid w:val="6E48B5B5"/>
    <w:rsid w:val="6E6722E5"/>
    <w:rsid w:val="6EC5F0C7"/>
    <w:rsid w:val="6ED6D8AC"/>
    <w:rsid w:val="6F18672A"/>
    <w:rsid w:val="6F22E123"/>
    <w:rsid w:val="6F285D42"/>
    <w:rsid w:val="6F77B3FB"/>
    <w:rsid w:val="6FCF8F1D"/>
    <w:rsid w:val="6FD0B9E7"/>
    <w:rsid w:val="6FEB6C01"/>
    <w:rsid w:val="70043C97"/>
    <w:rsid w:val="706322E9"/>
    <w:rsid w:val="708832D3"/>
    <w:rsid w:val="709B0F2E"/>
    <w:rsid w:val="70F8E40C"/>
    <w:rsid w:val="7130E5A6"/>
    <w:rsid w:val="714A8EB1"/>
    <w:rsid w:val="718ED221"/>
    <w:rsid w:val="719F6FA3"/>
    <w:rsid w:val="71E46773"/>
    <w:rsid w:val="720A85D2"/>
    <w:rsid w:val="722539B5"/>
    <w:rsid w:val="723055D4"/>
    <w:rsid w:val="724203DA"/>
    <w:rsid w:val="725B68D1"/>
    <w:rsid w:val="727597FC"/>
    <w:rsid w:val="7366F829"/>
    <w:rsid w:val="73791993"/>
    <w:rsid w:val="73BCE192"/>
    <w:rsid w:val="74E0EAFD"/>
    <w:rsid w:val="752C577C"/>
    <w:rsid w:val="7560985B"/>
    <w:rsid w:val="757A5C0B"/>
    <w:rsid w:val="75AD38BE"/>
    <w:rsid w:val="75E213EC"/>
    <w:rsid w:val="75F2E9F8"/>
    <w:rsid w:val="76327828"/>
    <w:rsid w:val="76508BE6"/>
    <w:rsid w:val="765FCBF3"/>
    <w:rsid w:val="76624344"/>
    <w:rsid w:val="766D2FBF"/>
    <w:rsid w:val="76B2EBA8"/>
    <w:rsid w:val="7717EE34"/>
    <w:rsid w:val="77212DB5"/>
    <w:rsid w:val="772F0CDC"/>
    <w:rsid w:val="77384ECC"/>
    <w:rsid w:val="778D77E9"/>
    <w:rsid w:val="7790B695"/>
    <w:rsid w:val="77AADB11"/>
    <w:rsid w:val="784ACFE1"/>
    <w:rsid w:val="787B5ABC"/>
    <w:rsid w:val="78C82570"/>
    <w:rsid w:val="793138A3"/>
    <w:rsid w:val="799AC827"/>
    <w:rsid w:val="79BB4466"/>
    <w:rsid w:val="79C28D9F"/>
    <w:rsid w:val="79DDF0E4"/>
    <w:rsid w:val="7A14A9BD"/>
    <w:rsid w:val="7A4361BB"/>
    <w:rsid w:val="7A54CB75"/>
    <w:rsid w:val="7AA15CD5"/>
    <w:rsid w:val="7ABD11F2"/>
    <w:rsid w:val="7B237E04"/>
    <w:rsid w:val="7B2B6DD6"/>
    <w:rsid w:val="7B805490"/>
    <w:rsid w:val="7BCEE402"/>
    <w:rsid w:val="7BDC5C9A"/>
    <w:rsid w:val="7C031388"/>
    <w:rsid w:val="7C3DC390"/>
    <w:rsid w:val="7C5F50A6"/>
    <w:rsid w:val="7C607512"/>
    <w:rsid w:val="7CC59191"/>
    <w:rsid w:val="7D1A6BF0"/>
    <w:rsid w:val="7D5888E1"/>
    <w:rsid w:val="7D95C0A2"/>
    <w:rsid w:val="7DBBD773"/>
    <w:rsid w:val="7DDBC494"/>
    <w:rsid w:val="7E73B296"/>
    <w:rsid w:val="7E787974"/>
    <w:rsid w:val="7EA227BF"/>
    <w:rsid w:val="7EB61930"/>
    <w:rsid w:val="7ECF418D"/>
    <w:rsid w:val="7F49AA11"/>
    <w:rsid w:val="7F97CF07"/>
    <w:rsid w:val="7F9E71C3"/>
    <w:rsid w:val="7FA5E6D2"/>
    <w:rsid w:val="7FB15575"/>
    <w:rsid w:val="7FB75854"/>
    <w:rsid w:val="7FC6B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2EA10"/>
  <w15:chartTrackingRefBased/>
  <w15:docId w15:val="{9B2D6F12-BC4C-2B4F-B0BE-07827979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91">
    <w:name w:val="font91"/>
    <w:basedOn w:val="DefaultParagraphFont"/>
    <w:rsid w:val="00AC3C79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5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D999E415-05BD-48EF-9009-BD9C91259AE0}">
    <t:Anchor>
      <t:Comment id="150613204"/>
    </t:Anchor>
    <t:History>
      <t:Event id="{67DE6681-1C63-4137-B039-FC43B233BA73}" time="2021-02-01T21:39:34.152Z">
        <t:Attribution userId="S::ahoare@tru.ca::fd3cfcb3-4c83-4a8c-a228-56f7eac91013" userProvider="AD" userName="Alana Hoare"/>
        <t:Anchor>
          <t:Comment id="150613204"/>
        </t:Anchor>
        <t:Create/>
      </t:Event>
      <t:Event id="{68843E41-1B4E-4D55-B9C3-1E8037FD09A1}" time="2021-02-01T21:39:34.152Z">
        <t:Attribution userId="S::ahoare@tru.ca::fd3cfcb3-4c83-4a8c-a228-56f7eac91013" userProvider="AD" userName="Alana Hoare"/>
        <t:Anchor>
          <t:Comment id="150613204"/>
        </t:Anchor>
        <t:Assign userId="S::choessler@tru.ca::b58db11d-397a-46f6-90d9-968466fc8177" userProvider="AD" userName="Carolyn Hoessler"/>
      </t:Event>
      <t:Event id="{5DDED278-4EDE-49A3-BC32-62B868D49EA2}" time="2021-02-01T21:39:34.152Z">
        <t:Attribution userId="S::ahoare@tru.ca::fd3cfcb3-4c83-4a8c-a228-56f7eac91013" userProvider="AD" userName="Alana Hoare"/>
        <t:Anchor>
          <t:Comment id="150613204"/>
        </t:Anchor>
        <t:SetTitle title="@Carolyn Hoessler this foci seems only to be half addressed. The descriptions focus on the questioning but not on the investigating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6207FA5D7654CA95D2C6B34B3FF40" ma:contentTypeVersion="6" ma:contentTypeDescription="Create a new document." ma:contentTypeScope="" ma:versionID="973cdb50532f9f93911afef3b44bb396">
  <xsd:schema xmlns:xsd="http://www.w3.org/2001/XMLSchema" xmlns:xs="http://www.w3.org/2001/XMLSchema" xmlns:p="http://schemas.microsoft.com/office/2006/metadata/properties" xmlns:ns2="a1ec3448-fa0f-474b-a1a3-69b74984704c" xmlns:ns3="516b15b3-455a-49dd-b8ba-1b17df2ebd94" targetNamespace="http://schemas.microsoft.com/office/2006/metadata/properties" ma:root="true" ma:fieldsID="581079fdd7cab7bc58ecfe2978d2c610" ns2:_="" ns3:_="">
    <xsd:import namespace="a1ec3448-fa0f-474b-a1a3-69b74984704c"/>
    <xsd:import namespace="516b15b3-455a-49dd-b8ba-1b17df2eb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c3448-fa0f-474b-a1a3-69b749847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b15b3-455a-49dd-b8ba-1b17df2eb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9712B-07C4-471F-BE4E-FC98D4A5E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CEAEE-2D97-4ACF-B7F6-4B886D771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B300AB-2F1E-451C-A84C-9A5B76F10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c3448-fa0f-474b-a1a3-69b74984704c"/>
    <ds:schemaRef ds:uri="516b15b3-455a-49dd-b8ba-1b17df2eb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Hoessler</dc:creator>
  <cp:keywords/>
  <dc:description/>
  <cp:lastModifiedBy>Carolyn Hoessler</cp:lastModifiedBy>
  <cp:revision>22</cp:revision>
  <dcterms:created xsi:type="dcterms:W3CDTF">2021-01-23T00:13:00Z</dcterms:created>
  <dcterms:modified xsi:type="dcterms:W3CDTF">2021-04-30T18:48:00Z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0x0101008AC6207FA5D7654CA95D2C6B34B3FF40</vt:lpwstr>
  </property>
</Properties>
</file>